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210" w:rsidRPr="00FB052A" w:rsidRDefault="00FB052A">
      <w:pPr>
        <w:rPr>
          <w:b/>
          <w:sz w:val="28"/>
          <w:szCs w:val="28"/>
        </w:rPr>
      </w:pPr>
      <w:r w:rsidRPr="00FB052A">
        <w:rPr>
          <w:b/>
          <w:sz w:val="28"/>
          <w:szCs w:val="28"/>
        </w:rPr>
        <w:t>Fogalomtár</w:t>
      </w:r>
    </w:p>
    <w:p w:rsidR="00FB052A" w:rsidRPr="00FB052A" w:rsidRDefault="00FB052A">
      <w:pPr>
        <w:rPr>
          <w:sz w:val="24"/>
          <w:szCs w:val="24"/>
        </w:rPr>
      </w:pPr>
      <w:r w:rsidRPr="00FB052A">
        <w:rPr>
          <w:sz w:val="24"/>
          <w:szCs w:val="24"/>
        </w:rPr>
        <w:t>(6 fogalom)</w:t>
      </w:r>
    </w:p>
    <w:p w:rsidR="00FB052A" w:rsidRPr="003C7E45" w:rsidRDefault="00FB052A">
      <w:pPr>
        <w:rPr>
          <w:b/>
          <w:i/>
          <w:sz w:val="24"/>
          <w:szCs w:val="24"/>
        </w:rPr>
      </w:pPr>
      <w:proofErr w:type="gramStart"/>
      <w:r w:rsidRPr="003C7E45">
        <w:rPr>
          <w:b/>
          <w:i/>
          <w:sz w:val="24"/>
          <w:szCs w:val="24"/>
        </w:rPr>
        <w:t>ökológiai</w:t>
      </w:r>
      <w:proofErr w:type="gramEnd"/>
      <w:r w:rsidRPr="003C7E45">
        <w:rPr>
          <w:b/>
          <w:i/>
          <w:sz w:val="24"/>
          <w:szCs w:val="24"/>
        </w:rPr>
        <w:t xml:space="preserve"> lábnyom</w:t>
      </w:r>
      <w:r w:rsidR="00727C28" w:rsidRPr="003C7E45">
        <w:rPr>
          <w:b/>
          <w:i/>
          <w:sz w:val="24"/>
          <w:szCs w:val="24"/>
        </w:rPr>
        <w:t xml:space="preserve"> (</w:t>
      </w:r>
      <w:proofErr w:type="spellStart"/>
      <w:r w:rsidR="00727C28" w:rsidRPr="003C7E45">
        <w:rPr>
          <w:b/>
          <w:i/>
          <w:sz w:val="24"/>
          <w:szCs w:val="24"/>
        </w:rPr>
        <w:t>ecological</w:t>
      </w:r>
      <w:proofErr w:type="spellEnd"/>
      <w:r w:rsidR="00727C28" w:rsidRPr="003C7E45">
        <w:rPr>
          <w:b/>
          <w:i/>
          <w:sz w:val="24"/>
          <w:szCs w:val="24"/>
        </w:rPr>
        <w:t xml:space="preserve"> </w:t>
      </w:r>
      <w:proofErr w:type="spellStart"/>
      <w:r w:rsidR="00727C28" w:rsidRPr="003C7E45">
        <w:rPr>
          <w:b/>
          <w:i/>
          <w:sz w:val="24"/>
          <w:szCs w:val="24"/>
        </w:rPr>
        <w:t>footprint</w:t>
      </w:r>
      <w:proofErr w:type="spellEnd"/>
      <w:r w:rsidR="00727C28" w:rsidRPr="003C7E45">
        <w:rPr>
          <w:b/>
          <w:i/>
          <w:sz w:val="24"/>
          <w:szCs w:val="24"/>
        </w:rPr>
        <w:t>)</w:t>
      </w:r>
      <w:r w:rsidR="00661852">
        <w:rPr>
          <w:b/>
          <w:i/>
          <w:sz w:val="24"/>
          <w:szCs w:val="24"/>
        </w:rPr>
        <w:t xml:space="preserve"> 1</w:t>
      </w:r>
      <w:r w:rsidRPr="003C7E45">
        <w:rPr>
          <w:b/>
          <w:i/>
          <w:sz w:val="24"/>
          <w:szCs w:val="24"/>
        </w:rPr>
        <w:t>:</w:t>
      </w:r>
    </w:p>
    <w:p w:rsidR="00FB052A" w:rsidRDefault="00727C28">
      <w:pPr>
        <w:rPr>
          <w:sz w:val="24"/>
          <w:szCs w:val="24"/>
        </w:rPr>
      </w:pPr>
      <w:r w:rsidRPr="00727C28">
        <w:rPr>
          <w:sz w:val="24"/>
          <w:szCs w:val="24"/>
        </w:rPr>
        <w:t>Az ökológia lábnyom egy olyan érték, olyan közgazdasági mutató számítási rendszer, mely az adott ország, térség vagy tevékenység környezetre ható igényeit teszi egységesen mérhetővé. Azt fejezi ki, hogy mennyire használjuk fel, illetve használjuk túl Földünk javait. </w:t>
      </w:r>
    </w:p>
    <w:p w:rsidR="00727C28" w:rsidRDefault="00727C28">
      <w:pPr>
        <w:rPr>
          <w:sz w:val="24"/>
          <w:szCs w:val="24"/>
        </w:rPr>
      </w:pPr>
      <w:r w:rsidRPr="00727C28">
        <w:rPr>
          <w:sz w:val="24"/>
          <w:szCs w:val="24"/>
        </w:rPr>
        <w:t>Az ökológiai lábnyom az emberi tevékenység környezeti hatá</w:t>
      </w:r>
      <w:r>
        <w:rPr>
          <w:sz w:val="24"/>
          <w:szCs w:val="24"/>
        </w:rPr>
        <w:t>sait méri 6 különböző területen: 1. karbonlábnyom, szénlábnyom; 2. halászati lábnyom; 3. termőföld lábnyom; 4. legelő lábnyom; 5. erdő lábnyom; 6. beépített területek lábnyoma.</w:t>
      </w:r>
    </w:p>
    <w:p w:rsidR="00727C28" w:rsidRDefault="0008705C">
      <w:pPr>
        <w:rPr>
          <w:sz w:val="24"/>
          <w:szCs w:val="24"/>
        </w:rPr>
      </w:pPr>
      <w:r w:rsidRPr="0008705C">
        <w:rPr>
          <w:sz w:val="24"/>
          <w:szCs w:val="24"/>
        </w:rPr>
        <w:t xml:space="preserve">Az ökológiai lábnyom számítás szintje szerint lehet </w:t>
      </w:r>
      <w:proofErr w:type="gramStart"/>
      <w:r w:rsidRPr="0008705C">
        <w:rPr>
          <w:sz w:val="24"/>
          <w:szCs w:val="24"/>
        </w:rPr>
        <w:t>globális</w:t>
      </w:r>
      <w:proofErr w:type="gramEnd"/>
      <w:r w:rsidRPr="0008705C">
        <w:rPr>
          <w:sz w:val="24"/>
          <w:szCs w:val="24"/>
        </w:rPr>
        <w:t xml:space="preserve">, országos, regionális, települési és egyéni, tehát makro- és </w:t>
      </w:r>
      <w:proofErr w:type="spellStart"/>
      <w:r w:rsidRPr="0008705C">
        <w:rPr>
          <w:sz w:val="24"/>
          <w:szCs w:val="24"/>
        </w:rPr>
        <w:t>mikroszintű</w:t>
      </w:r>
      <w:proofErr w:type="spellEnd"/>
      <w:r w:rsidRPr="0008705C">
        <w:rPr>
          <w:sz w:val="24"/>
          <w:szCs w:val="24"/>
        </w:rPr>
        <w:t>.</w:t>
      </w:r>
    </w:p>
    <w:p w:rsidR="001D5AF7" w:rsidRPr="001D5AF7" w:rsidRDefault="001D5AF7" w:rsidP="001D5AF7">
      <w:pPr>
        <w:rPr>
          <w:sz w:val="24"/>
          <w:szCs w:val="24"/>
        </w:rPr>
      </w:pPr>
      <w:r w:rsidRPr="001D5AF7">
        <w:rPr>
          <w:bCs/>
          <w:sz w:val="24"/>
          <w:szCs w:val="24"/>
        </w:rPr>
        <w:t>Mekkora Magyarország ökológiai lábnyoma? </w:t>
      </w:r>
      <w:r w:rsidRPr="001D5AF7">
        <w:rPr>
          <w:sz w:val="24"/>
          <w:szCs w:val="24"/>
        </w:rPr>
        <w:t xml:space="preserve">Jelenleg 2.92 </w:t>
      </w:r>
      <w:proofErr w:type="spellStart"/>
      <w:r w:rsidRPr="001D5AF7">
        <w:rPr>
          <w:sz w:val="24"/>
          <w:szCs w:val="24"/>
        </w:rPr>
        <w:t>gHA</w:t>
      </w:r>
      <w:proofErr w:type="spellEnd"/>
      <w:r w:rsidRPr="001D5AF7">
        <w:rPr>
          <w:sz w:val="24"/>
          <w:szCs w:val="24"/>
        </w:rPr>
        <w:t xml:space="preserve"> -</w:t>
      </w:r>
      <w:proofErr w:type="spellStart"/>
      <w:r w:rsidRPr="001D5AF7">
        <w:rPr>
          <w:sz w:val="24"/>
          <w:szCs w:val="24"/>
        </w:rPr>
        <w:t>os</w:t>
      </w:r>
      <w:proofErr w:type="spellEnd"/>
      <w:r w:rsidRPr="001D5AF7">
        <w:rPr>
          <w:sz w:val="24"/>
          <w:szCs w:val="24"/>
        </w:rPr>
        <w:t xml:space="preserve"> hazánk ökológiai lábn</w:t>
      </w:r>
      <w:r>
        <w:rPr>
          <w:sz w:val="24"/>
          <w:szCs w:val="24"/>
        </w:rPr>
        <w:t>yoma, a Túlfogyasztás napja 2020-ban július 1</w:t>
      </w:r>
      <w:r w:rsidRPr="001D5AF7">
        <w:rPr>
          <w:sz w:val="24"/>
          <w:szCs w:val="24"/>
        </w:rPr>
        <w:t xml:space="preserve">. A </w:t>
      </w:r>
      <w:proofErr w:type="gramStart"/>
      <w:r w:rsidRPr="001D5AF7">
        <w:rPr>
          <w:sz w:val="24"/>
          <w:szCs w:val="24"/>
        </w:rPr>
        <w:t>dátum</w:t>
      </w:r>
      <w:proofErr w:type="gramEnd"/>
      <w:r w:rsidRPr="001D5AF7">
        <w:rPr>
          <w:sz w:val="24"/>
          <w:szCs w:val="24"/>
        </w:rPr>
        <w:t xml:space="preserve"> jelképes és figyelmeztető: ettől fogva a fogyasztás már környezetünk rovására</w:t>
      </w:r>
      <w:r>
        <w:rPr>
          <w:sz w:val="24"/>
          <w:szCs w:val="24"/>
        </w:rPr>
        <w:t xml:space="preserve"> megy.</w:t>
      </w:r>
    </w:p>
    <w:p w:rsidR="0008705C" w:rsidRDefault="00360ADF">
      <w:pPr>
        <w:rPr>
          <w:sz w:val="24"/>
          <w:szCs w:val="24"/>
        </w:rPr>
      </w:pPr>
      <w:r>
        <w:rPr>
          <w:sz w:val="24"/>
          <w:szCs w:val="24"/>
        </w:rPr>
        <w:t xml:space="preserve">Forrás: </w:t>
      </w:r>
      <w:hyperlink r:id="rId5" w:history="1">
        <w:r w:rsidRPr="002E772D">
          <w:rPr>
            <w:rStyle w:val="Hiperhivatkozs"/>
            <w:sz w:val="24"/>
            <w:szCs w:val="24"/>
          </w:rPr>
          <w:t>https://xforest.hu/okologiai-labnyom/</w:t>
        </w:r>
      </w:hyperlink>
      <w:r>
        <w:rPr>
          <w:sz w:val="24"/>
          <w:szCs w:val="24"/>
        </w:rPr>
        <w:t xml:space="preserve"> </w:t>
      </w:r>
    </w:p>
    <w:p w:rsidR="00360ADF" w:rsidRDefault="00360ADF">
      <w:pPr>
        <w:rPr>
          <w:sz w:val="24"/>
          <w:szCs w:val="24"/>
        </w:rPr>
      </w:pPr>
    </w:p>
    <w:p w:rsidR="00727C28" w:rsidRPr="003C7E45" w:rsidRDefault="003C7E45">
      <w:pPr>
        <w:rPr>
          <w:b/>
          <w:i/>
          <w:sz w:val="24"/>
          <w:szCs w:val="24"/>
        </w:rPr>
      </w:pPr>
      <w:r w:rsidRPr="003C7E45">
        <w:rPr>
          <w:b/>
          <w:i/>
          <w:sz w:val="24"/>
          <w:szCs w:val="24"/>
        </w:rPr>
        <w:t>ökológiai lábnyom (</w:t>
      </w:r>
      <w:proofErr w:type="spellStart"/>
      <w:r w:rsidRPr="003C7E45">
        <w:rPr>
          <w:b/>
          <w:i/>
          <w:sz w:val="24"/>
          <w:szCs w:val="24"/>
        </w:rPr>
        <w:t>ecologilcal</w:t>
      </w:r>
      <w:proofErr w:type="spellEnd"/>
      <w:r w:rsidRPr="003C7E45">
        <w:rPr>
          <w:b/>
          <w:i/>
          <w:sz w:val="24"/>
          <w:szCs w:val="24"/>
        </w:rPr>
        <w:t xml:space="preserve"> </w:t>
      </w:r>
      <w:proofErr w:type="spellStart"/>
      <w:r w:rsidRPr="003C7E45">
        <w:rPr>
          <w:b/>
          <w:i/>
          <w:sz w:val="24"/>
          <w:szCs w:val="24"/>
        </w:rPr>
        <w:t>footprint</w:t>
      </w:r>
      <w:proofErr w:type="spellEnd"/>
      <w:r w:rsidRPr="003C7E45">
        <w:rPr>
          <w:b/>
          <w:i/>
          <w:sz w:val="24"/>
          <w:szCs w:val="24"/>
        </w:rPr>
        <w:t>)</w:t>
      </w:r>
      <w:r w:rsidR="00661852">
        <w:rPr>
          <w:b/>
          <w:i/>
          <w:sz w:val="24"/>
          <w:szCs w:val="24"/>
        </w:rPr>
        <w:t xml:space="preserve"> 2</w:t>
      </w:r>
      <w:r w:rsidRPr="003C7E45">
        <w:rPr>
          <w:b/>
          <w:i/>
          <w:sz w:val="24"/>
          <w:szCs w:val="24"/>
        </w:rPr>
        <w:t>:</w:t>
      </w:r>
    </w:p>
    <w:p w:rsidR="003C7E45" w:rsidRDefault="003C7E45">
      <w:pPr>
        <w:rPr>
          <w:sz w:val="24"/>
          <w:szCs w:val="24"/>
        </w:rPr>
      </w:pPr>
      <w:r w:rsidRPr="003C7E45">
        <w:rPr>
          <w:sz w:val="24"/>
          <w:szCs w:val="24"/>
        </w:rPr>
        <w:t xml:space="preserve">Az ökológiai lábnyom egy olyan hektárban kifejezett érték, melyet egy arra irányuló elemzéssel lehet kiszámítani, hogy mennyi energiát </w:t>
      </w:r>
      <w:proofErr w:type="gramStart"/>
      <w:r w:rsidRPr="003C7E45">
        <w:rPr>
          <w:sz w:val="24"/>
          <w:szCs w:val="24"/>
        </w:rPr>
        <w:t>fogyasztunk</w:t>
      </w:r>
      <w:proofErr w:type="gramEnd"/>
      <w:r w:rsidRPr="003C7E45">
        <w:rPr>
          <w:sz w:val="24"/>
          <w:szCs w:val="24"/>
        </w:rPr>
        <w:t xml:space="preserve"> és mennyi hulladékot termelünk. Alapvetően a víz és a föld erőforrásaira irányul. Megmutatja, hogy mennyit használunk el a meglévőkből, hogy mennyi jut </w:t>
      </w:r>
      <w:r>
        <w:rPr>
          <w:sz w:val="24"/>
          <w:szCs w:val="24"/>
        </w:rPr>
        <w:t>egy főre és, hogy milyen kilátá</w:t>
      </w:r>
      <w:r w:rsidRPr="003C7E45">
        <w:rPr>
          <w:sz w:val="24"/>
          <w:szCs w:val="24"/>
        </w:rPr>
        <w:t>sokra lehet számítani ennek alapján.</w:t>
      </w:r>
    </w:p>
    <w:p w:rsidR="003C7E45" w:rsidRDefault="003C7E45">
      <w:pPr>
        <w:rPr>
          <w:sz w:val="24"/>
          <w:szCs w:val="24"/>
        </w:rPr>
      </w:pPr>
      <w:r w:rsidRPr="003C7E45">
        <w:rPr>
          <w:sz w:val="24"/>
          <w:szCs w:val="24"/>
        </w:rPr>
        <w:t>Ökológiai lábnyoma minden élőlénynek van, aki energiát fogyaszt. Ezt ki lehet számítani egyetlen személyre, vagy családra, de egész városokra vagy országokra is. Az, hogy mekkora ez a mérőszám, függ a földrajzi elhelyezkedéstől, életszínvonaltól, történelmi kortól, gazdasági helyzettől, a népsűrűségtől és természetesen az energiafogyasztástól.</w:t>
      </w:r>
    </w:p>
    <w:p w:rsidR="003C7E45" w:rsidRDefault="003C7E45">
      <w:pPr>
        <w:rPr>
          <w:sz w:val="24"/>
          <w:szCs w:val="24"/>
        </w:rPr>
      </w:pPr>
      <w:r w:rsidRPr="003C7E45">
        <w:rPr>
          <w:sz w:val="24"/>
          <w:szCs w:val="24"/>
        </w:rPr>
        <w:t xml:space="preserve">A jelenlegi eredmények </w:t>
      </w:r>
      <w:proofErr w:type="spellStart"/>
      <w:r w:rsidRPr="003C7E45">
        <w:rPr>
          <w:sz w:val="24"/>
          <w:szCs w:val="24"/>
        </w:rPr>
        <w:t>vészjóslóak</w:t>
      </w:r>
      <w:proofErr w:type="spellEnd"/>
      <w:r w:rsidRPr="003C7E45">
        <w:rPr>
          <w:sz w:val="24"/>
          <w:szCs w:val="24"/>
        </w:rPr>
        <w:t>: egy emberre 1,8 hektár terület jut, azonban</w:t>
      </w:r>
      <w:r>
        <w:rPr>
          <w:sz w:val="24"/>
          <w:szCs w:val="24"/>
        </w:rPr>
        <w:t xml:space="preserve"> ezt</w:t>
      </w:r>
      <w:r w:rsidRPr="003C7E45">
        <w:rPr>
          <w:sz w:val="24"/>
          <w:szCs w:val="24"/>
        </w:rPr>
        <w:t xml:space="preserve"> nagyjából átlagosan 30%-</w:t>
      </w:r>
      <w:proofErr w:type="spellStart"/>
      <w:r>
        <w:rPr>
          <w:sz w:val="24"/>
          <w:szCs w:val="24"/>
        </w:rPr>
        <w:t>kal</w:t>
      </w:r>
      <w:proofErr w:type="spellEnd"/>
      <w:r>
        <w:rPr>
          <w:sz w:val="24"/>
          <w:szCs w:val="24"/>
        </w:rPr>
        <w:t xml:space="preserve"> haladja meg</w:t>
      </w:r>
      <w:r w:rsidRPr="003C7E45">
        <w:rPr>
          <w:sz w:val="24"/>
          <w:szCs w:val="24"/>
        </w:rPr>
        <w:t xml:space="preserve"> a Föld népessége, ami azt jelenti, hogy sokkal több energiát fogyasztunk és hulladékot termelünk, mint amennyi a hosszútávú fenntartható földi élethez szükséges lenne.</w:t>
      </w:r>
    </w:p>
    <w:p w:rsidR="008F309B" w:rsidRDefault="008F309B">
      <w:pPr>
        <w:rPr>
          <w:sz w:val="24"/>
          <w:szCs w:val="24"/>
        </w:rPr>
      </w:pPr>
      <w:r>
        <w:rPr>
          <w:sz w:val="24"/>
          <w:szCs w:val="24"/>
        </w:rPr>
        <w:t xml:space="preserve">Forrás: </w:t>
      </w:r>
      <w:hyperlink r:id="rId6" w:history="1">
        <w:r w:rsidRPr="002E772D">
          <w:rPr>
            <w:rStyle w:val="Hiperhivatkozs"/>
            <w:sz w:val="24"/>
            <w:szCs w:val="24"/>
          </w:rPr>
          <w:t>http://energiaonline.hu/mit-jelent-az-okologiai-labnyom-fogalma/</w:t>
        </w:r>
      </w:hyperlink>
      <w:r>
        <w:rPr>
          <w:sz w:val="24"/>
          <w:szCs w:val="24"/>
        </w:rPr>
        <w:t xml:space="preserve"> </w:t>
      </w:r>
    </w:p>
    <w:p w:rsidR="003C7E45" w:rsidRDefault="003C7E45">
      <w:pPr>
        <w:rPr>
          <w:sz w:val="24"/>
          <w:szCs w:val="24"/>
        </w:rPr>
      </w:pPr>
    </w:p>
    <w:p w:rsidR="0055248D" w:rsidRPr="006536AC" w:rsidRDefault="003F3039">
      <w:pPr>
        <w:rPr>
          <w:b/>
          <w:i/>
          <w:sz w:val="24"/>
          <w:szCs w:val="24"/>
        </w:rPr>
      </w:pPr>
      <w:proofErr w:type="gramStart"/>
      <w:r>
        <w:rPr>
          <w:b/>
          <w:i/>
          <w:sz w:val="24"/>
          <w:szCs w:val="24"/>
        </w:rPr>
        <w:t>globális</w:t>
      </w:r>
      <w:proofErr w:type="gramEnd"/>
      <w:r>
        <w:rPr>
          <w:b/>
          <w:i/>
          <w:sz w:val="24"/>
          <w:szCs w:val="24"/>
        </w:rPr>
        <w:t xml:space="preserve"> felmelegedés</w:t>
      </w:r>
      <w:r w:rsidR="006536AC" w:rsidRPr="006536AC">
        <w:rPr>
          <w:b/>
          <w:i/>
          <w:sz w:val="24"/>
          <w:szCs w:val="24"/>
        </w:rPr>
        <w:t>:</w:t>
      </w:r>
    </w:p>
    <w:p w:rsidR="006536AC" w:rsidRDefault="006536AC">
      <w:pPr>
        <w:rPr>
          <w:sz w:val="24"/>
          <w:szCs w:val="24"/>
        </w:rPr>
      </w:pPr>
      <w:r w:rsidRPr="006536AC">
        <w:rPr>
          <w:sz w:val="24"/>
          <w:szCs w:val="24"/>
        </w:rPr>
        <w:t xml:space="preserve">A </w:t>
      </w:r>
      <w:proofErr w:type="gramStart"/>
      <w:r w:rsidRPr="006536AC">
        <w:rPr>
          <w:sz w:val="24"/>
          <w:szCs w:val="24"/>
        </w:rPr>
        <w:t>globális</w:t>
      </w:r>
      <w:proofErr w:type="gramEnd"/>
      <w:r w:rsidRPr="006536AC">
        <w:rPr>
          <w:sz w:val="24"/>
          <w:szCs w:val="24"/>
        </w:rPr>
        <w:t xml:space="preserve"> felme</w:t>
      </w:r>
      <w:r>
        <w:rPr>
          <w:sz w:val="24"/>
          <w:szCs w:val="24"/>
        </w:rPr>
        <w:t>legedés fogalma</w:t>
      </w:r>
      <w:r w:rsidRPr="006536AC">
        <w:rPr>
          <w:sz w:val="24"/>
          <w:szCs w:val="24"/>
        </w:rPr>
        <w:t xml:space="preserve"> Wallace Sm</w:t>
      </w:r>
      <w:r>
        <w:rPr>
          <w:sz w:val="24"/>
          <w:szCs w:val="24"/>
        </w:rPr>
        <w:t xml:space="preserve">ith </w:t>
      </w:r>
      <w:proofErr w:type="spellStart"/>
      <w:r>
        <w:rPr>
          <w:sz w:val="24"/>
          <w:szCs w:val="24"/>
        </w:rPr>
        <w:t>Broecker</w:t>
      </w:r>
      <w:proofErr w:type="spellEnd"/>
      <w:r w:rsidRPr="006536AC">
        <w:rPr>
          <w:sz w:val="24"/>
          <w:szCs w:val="24"/>
        </w:rPr>
        <w:t xml:space="preserve"> amerikai geofizikus</w:t>
      </w:r>
      <w:r>
        <w:rPr>
          <w:sz w:val="24"/>
          <w:szCs w:val="24"/>
        </w:rPr>
        <w:t xml:space="preserve"> nevéhez fűződik, aki</w:t>
      </w:r>
      <w:r w:rsidRPr="006536AC">
        <w:rPr>
          <w:sz w:val="24"/>
          <w:szCs w:val="24"/>
        </w:rPr>
        <w:t xml:space="preserve"> egy 1975-ös tanulmányában használta először a kifejezést, </w:t>
      </w:r>
      <w:proofErr w:type="spellStart"/>
      <w:r w:rsidRPr="006536AC">
        <w:rPr>
          <w:sz w:val="24"/>
          <w:szCs w:val="24"/>
        </w:rPr>
        <w:t>előrejelezve</w:t>
      </w:r>
      <w:proofErr w:type="spellEnd"/>
      <w:r w:rsidRPr="006536AC">
        <w:rPr>
          <w:sz w:val="24"/>
          <w:szCs w:val="24"/>
        </w:rPr>
        <w:t xml:space="preserve">, hogy a szén-dioxid koncentrációjának növekedése a légkörben világszerte felmelegedéshez fog </w:t>
      </w:r>
      <w:r w:rsidRPr="006536AC">
        <w:rPr>
          <w:sz w:val="24"/>
          <w:szCs w:val="24"/>
        </w:rPr>
        <w:lastRenderedPageBreak/>
        <w:t>vezetni</w:t>
      </w:r>
      <w:r w:rsidRPr="00D44BF4">
        <w:rPr>
          <w:sz w:val="24"/>
          <w:szCs w:val="24"/>
        </w:rPr>
        <w:t>.</w:t>
      </w:r>
      <w:r w:rsidR="00D44BF4" w:rsidRPr="00D44BF4">
        <w:rPr>
          <w:sz w:val="24"/>
          <w:szCs w:val="24"/>
        </w:rPr>
        <w:t xml:space="preserve"> </w:t>
      </w:r>
      <w:r w:rsidR="00D44BF4" w:rsidRPr="00D44BF4">
        <w:rPr>
          <w:bCs/>
          <w:sz w:val="24"/>
          <w:szCs w:val="24"/>
        </w:rPr>
        <w:t>A felmelegedés </w:t>
      </w:r>
      <w:r w:rsidR="00D44BF4" w:rsidRPr="00D44BF4">
        <w:rPr>
          <w:sz w:val="24"/>
          <w:szCs w:val="24"/>
        </w:rPr>
        <w:t>a legsúlyosabb </w:t>
      </w:r>
      <w:proofErr w:type="gramStart"/>
      <w:r w:rsidR="00D44BF4">
        <w:rPr>
          <w:bCs/>
          <w:sz w:val="24"/>
          <w:szCs w:val="24"/>
        </w:rPr>
        <w:t>globális</w:t>
      </w:r>
      <w:proofErr w:type="gramEnd"/>
      <w:r w:rsidR="00D44BF4">
        <w:rPr>
          <w:bCs/>
          <w:sz w:val="24"/>
          <w:szCs w:val="24"/>
        </w:rPr>
        <w:t xml:space="preserve"> környezeti problémák</w:t>
      </w:r>
      <w:r w:rsidR="00D44BF4" w:rsidRPr="00D44BF4">
        <w:rPr>
          <w:sz w:val="24"/>
          <w:szCs w:val="24"/>
        </w:rPr>
        <w:t> közé tartozik.</w:t>
      </w:r>
      <w:r w:rsidR="00D44BF4">
        <w:rPr>
          <w:sz w:val="24"/>
          <w:szCs w:val="24"/>
        </w:rPr>
        <w:t xml:space="preserve"> </w:t>
      </w:r>
      <w:r w:rsidR="00D44BF4" w:rsidRPr="00D44BF4">
        <w:rPr>
          <w:sz w:val="24"/>
          <w:szCs w:val="24"/>
        </w:rPr>
        <w:t xml:space="preserve">A fogalom maga a Föld </w:t>
      </w:r>
      <w:proofErr w:type="gramStart"/>
      <w:r w:rsidR="00D44BF4" w:rsidRPr="00D44BF4">
        <w:rPr>
          <w:sz w:val="24"/>
          <w:szCs w:val="24"/>
        </w:rPr>
        <w:t>globális</w:t>
      </w:r>
      <w:proofErr w:type="gramEnd"/>
      <w:r w:rsidR="00D44BF4" w:rsidRPr="00D44BF4">
        <w:rPr>
          <w:sz w:val="24"/>
          <w:szCs w:val="24"/>
        </w:rPr>
        <w:t xml:space="preserve"> átlaghőmérsékletének hosszú távú és tartós emelkedését jelöli. A </w:t>
      </w:r>
      <w:proofErr w:type="gramStart"/>
      <w:r w:rsidR="00D44BF4" w:rsidRPr="00D44BF4">
        <w:rPr>
          <w:sz w:val="24"/>
          <w:szCs w:val="24"/>
        </w:rPr>
        <w:t>globális</w:t>
      </w:r>
      <w:proofErr w:type="gramEnd"/>
      <w:r w:rsidR="00D44BF4" w:rsidRPr="00D44BF4">
        <w:rPr>
          <w:sz w:val="24"/>
          <w:szCs w:val="24"/>
        </w:rPr>
        <w:t xml:space="preserve"> felmelegedés mögött – az uralkodó tudományos konszenzus szerint – elsősorban az emberi tevékenység következményei állnak.</w:t>
      </w:r>
    </w:p>
    <w:p w:rsidR="00D44BF4" w:rsidRDefault="00D44BF4">
      <w:pPr>
        <w:rPr>
          <w:sz w:val="24"/>
          <w:szCs w:val="24"/>
        </w:rPr>
      </w:pPr>
      <w:r w:rsidRPr="00D44BF4">
        <w:rPr>
          <w:sz w:val="24"/>
          <w:szCs w:val="24"/>
        </w:rPr>
        <w:t>Az </w:t>
      </w:r>
      <w:r w:rsidRPr="00D44BF4">
        <w:rPr>
          <w:bCs/>
          <w:sz w:val="24"/>
          <w:szCs w:val="24"/>
        </w:rPr>
        <w:t>Éghajlat-változási Kormányközi Testület (IPCC)</w:t>
      </w:r>
      <w:r w:rsidRPr="00D44BF4">
        <w:rPr>
          <w:sz w:val="24"/>
          <w:szCs w:val="24"/>
        </w:rPr>
        <w:t xml:space="preserve"> adatai szerint 1906 és 2005 között a Föld átlaghőmérséklete (a felszíntől két méter magasban, árnyékban megfigyelve) 0,74 Celsius-fokot melegedett. A 2006 és 2015 között mért </w:t>
      </w:r>
      <w:proofErr w:type="gramStart"/>
      <w:r w:rsidRPr="00D44BF4">
        <w:rPr>
          <w:sz w:val="24"/>
          <w:szCs w:val="24"/>
        </w:rPr>
        <w:t>globális</w:t>
      </w:r>
      <w:proofErr w:type="gramEnd"/>
      <w:r w:rsidRPr="00D44BF4">
        <w:rPr>
          <w:sz w:val="24"/>
          <w:szCs w:val="24"/>
        </w:rPr>
        <w:t xml:space="preserve"> átlaghőmérséklet már 0,87 °C-</w:t>
      </w:r>
      <w:proofErr w:type="spellStart"/>
      <w:r w:rsidRPr="00D44BF4">
        <w:rPr>
          <w:sz w:val="24"/>
          <w:szCs w:val="24"/>
        </w:rPr>
        <w:t>kal</w:t>
      </w:r>
      <w:proofErr w:type="spellEnd"/>
      <w:r w:rsidRPr="00D44BF4">
        <w:rPr>
          <w:sz w:val="24"/>
          <w:szCs w:val="24"/>
        </w:rPr>
        <w:t xml:space="preserve"> haladta meg az 1850-1900 közötti értékeket. A </w:t>
      </w:r>
      <w:proofErr w:type="gramStart"/>
      <w:r w:rsidRPr="00D44BF4">
        <w:rPr>
          <w:sz w:val="24"/>
          <w:szCs w:val="24"/>
        </w:rPr>
        <w:t>globális</w:t>
      </w:r>
      <w:proofErr w:type="gramEnd"/>
      <w:r w:rsidRPr="00D44BF4">
        <w:rPr>
          <w:sz w:val="24"/>
          <w:szCs w:val="24"/>
        </w:rPr>
        <w:t xml:space="preserve"> átlaghőmérséklet jelenleg évtizedenként 0,1–0,3 Celsius-fokkal nő.</w:t>
      </w:r>
    </w:p>
    <w:p w:rsidR="00D44BF4" w:rsidRPr="00D44BF4" w:rsidRDefault="00D44BF4">
      <w:pPr>
        <w:rPr>
          <w:sz w:val="24"/>
          <w:szCs w:val="24"/>
        </w:rPr>
      </w:pPr>
      <w:r>
        <w:rPr>
          <w:sz w:val="24"/>
          <w:szCs w:val="24"/>
        </w:rPr>
        <w:t xml:space="preserve">Forrás: </w:t>
      </w:r>
      <w:hyperlink r:id="rId7" w:history="1">
        <w:r w:rsidRPr="00867745">
          <w:rPr>
            <w:rStyle w:val="Hiperhivatkozs"/>
            <w:sz w:val="24"/>
            <w:szCs w:val="24"/>
          </w:rPr>
          <w:t>https://xforest.hu/globalis-felmelegedes/</w:t>
        </w:r>
      </w:hyperlink>
      <w:r>
        <w:rPr>
          <w:sz w:val="24"/>
          <w:szCs w:val="24"/>
        </w:rPr>
        <w:t xml:space="preserve"> </w:t>
      </w:r>
    </w:p>
    <w:p w:rsidR="0055248D" w:rsidRDefault="0055248D">
      <w:pPr>
        <w:rPr>
          <w:sz w:val="24"/>
          <w:szCs w:val="24"/>
        </w:rPr>
      </w:pPr>
    </w:p>
    <w:p w:rsidR="003C7E45" w:rsidRPr="003F3039" w:rsidRDefault="003F3039">
      <w:pPr>
        <w:rPr>
          <w:b/>
          <w:i/>
          <w:sz w:val="24"/>
          <w:szCs w:val="24"/>
        </w:rPr>
      </w:pPr>
      <w:proofErr w:type="gramStart"/>
      <w:r w:rsidRPr="003F3039">
        <w:rPr>
          <w:b/>
          <w:i/>
          <w:sz w:val="24"/>
          <w:szCs w:val="24"/>
        </w:rPr>
        <w:t>klímaváltozás</w:t>
      </w:r>
      <w:proofErr w:type="gramEnd"/>
      <w:r w:rsidRPr="003F3039">
        <w:rPr>
          <w:b/>
          <w:i/>
          <w:sz w:val="24"/>
          <w:szCs w:val="24"/>
        </w:rPr>
        <w:t>:</w:t>
      </w:r>
    </w:p>
    <w:p w:rsidR="003F3039" w:rsidRDefault="003F3039">
      <w:pPr>
        <w:rPr>
          <w:bCs/>
          <w:sz w:val="24"/>
          <w:szCs w:val="24"/>
        </w:rPr>
      </w:pPr>
      <w:r w:rsidRPr="003F3039">
        <w:rPr>
          <w:sz w:val="24"/>
          <w:szCs w:val="24"/>
        </w:rPr>
        <w:t>Nagyon sokszor tévesen tesznek egyenlőségjele</w:t>
      </w:r>
      <w:r>
        <w:rPr>
          <w:sz w:val="24"/>
          <w:szCs w:val="24"/>
        </w:rPr>
        <w:t>t a klímaváltozás (</w:t>
      </w:r>
      <w:r w:rsidRPr="003F3039">
        <w:rPr>
          <w:sz w:val="24"/>
          <w:szCs w:val="24"/>
        </w:rPr>
        <w:t xml:space="preserve">éghajlatváltozás) és a </w:t>
      </w:r>
      <w:proofErr w:type="gramStart"/>
      <w:r w:rsidRPr="003F3039">
        <w:rPr>
          <w:sz w:val="24"/>
          <w:szCs w:val="24"/>
        </w:rPr>
        <w:t>glo</w:t>
      </w:r>
      <w:r>
        <w:rPr>
          <w:sz w:val="24"/>
          <w:szCs w:val="24"/>
        </w:rPr>
        <w:t>bális</w:t>
      </w:r>
      <w:proofErr w:type="gramEnd"/>
      <w:r>
        <w:rPr>
          <w:sz w:val="24"/>
          <w:szCs w:val="24"/>
        </w:rPr>
        <w:t xml:space="preserve"> felmelegedés fogalma közé,</w:t>
      </w:r>
      <w:r w:rsidRPr="003F3039">
        <w:rPr>
          <w:sz w:val="24"/>
          <w:szCs w:val="24"/>
        </w:rPr>
        <w:t xml:space="preserve"> </w:t>
      </w:r>
      <w:r>
        <w:rPr>
          <w:sz w:val="24"/>
          <w:szCs w:val="24"/>
        </w:rPr>
        <w:t>h</w:t>
      </w:r>
      <w:r w:rsidRPr="003F3039">
        <w:rPr>
          <w:sz w:val="24"/>
          <w:szCs w:val="24"/>
        </w:rPr>
        <w:t>olott a k</w:t>
      </w:r>
      <w:r>
        <w:rPr>
          <w:sz w:val="24"/>
          <w:szCs w:val="24"/>
        </w:rPr>
        <w:t>ét jelenség</w:t>
      </w:r>
      <w:r w:rsidRPr="003F3039">
        <w:rPr>
          <w:sz w:val="24"/>
          <w:szCs w:val="24"/>
        </w:rPr>
        <w:t xml:space="preserve"> nem fedi teljes mértékben egymást.</w:t>
      </w:r>
      <w:r>
        <w:rPr>
          <w:sz w:val="24"/>
          <w:szCs w:val="24"/>
        </w:rPr>
        <w:t xml:space="preserve"> </w:t>
      </w:r>
      <w:r w:rsidR="00784563" w:rsidRPr="00784563">
        <w:rPr>
          <w:bCs/>
          <w:sz w:val="24"/>
          <w:szCs w:val="24"/>
        </w:rPr>
        <w:t xml:space="preserve">A </w:t>
      </w:r>
      <w:proofErr w:type="gramStart"/>
      <w:r w:rsidR="00784563" w:rsidRPr="00784563">
        <w:rPr>
          <w:bCs/>
          <w:sz w:val="24"/>
          <w:szCs w:val="24"/>
        </w:rPr>
        <w:t>globális</w:t>
      </w:r>
      <w:proofErr w:type="gramEnd"/>
      <w:r w:rsidR="00784563" w:rsidRPr="00784563">
        <w:rPr>
          <w:bCs/>
          <w:sz w:val="24"/>
          <w:szCs w:val="24"/>
        </w:rPr>
        <w:t xml:space="preserve"> felmelegedés a klímaváltozás egyik – bár talán legfontosabb – részfolyamata.</w:t>
      </w:r>
      <w:r w:rsidR="00784563">
        <w:rPr>
          <w:bCs/>
          <w:sz w:val="24"/>
          <w:szCs w:val="24"/>
        </w:rPr>
        <w:t xml:space="preserve"> </w:t>
      </w:r>
      <w:r w:rsidR="00784563" w:rsidRPr="00784563">
        <w:rPr>
          <w:bCs/>
          <w:sz w:val="24"/>
          <w:szCs w:val="24"/>
        </w:rPr>
        <w:t xml:space="preserve">A klímaváltozás ma ismert részfolyamatai közé tartozik még többek között az időjárási szélsőségek egyre gyakoribbá válása, az óceánok elsavasodása és a tengerszint emelkedése. Mindezek többnyire a </w:t>
      </w:r>
      <w:proofErr w:type="gramStart"/>
      <w:r w:rsidR="00784563" w:rsidRPr="00784563">
        <w:rPr>
          <w:bCs/>
          <w:sz w:val="24"/>
          <w:szCs w:val="24"/>
        </w:rPr>
        <w:t>globális</w:t>
      </w:r>
      <w:proofErr w:type="gramEnd"/>
      <w:r w:rsidR="00784563" w:rsidRPr="00784563">
        <w:rPr>
          <w:bCs/>
          <w:sz w:val="24"/>
          <w:szCs w:val="24"/>
        </w:rPr>
        <w:t xml:space="preserve"> átlaghőmérséklet emelkedésének következményei, de közben vissza is hatnak a globális felmelegedésre, tovább erősítve a folyamatot.</w:t>
      </w:r>
    </w:p>
    <w:p w:rsidR="00784563" w:rsidRDefault="00784563">
      <w:pPr>
        <w:rPr>
          <w:sz w:val="24"/>
          <w:szCs w:val="24"/>
        </w:rPr>
      </w:pPr>
      <w:r w:rsidRPr="00784563">
        <w:rPr>
          <w:sz w:val="24"/>
          <w:szCs w:val="24"/>
        </w:rPr>
        <w:t xml:space="preserve">A klímaváltozás és a </w:t>
      </w:r>
      <w:proofErr w:type="gramStart"/>
      <w:r w:rsidRPr="00784563">
        <w:rPr>
          <w:sz w:val="24"/>
          <w:szCs w:val="24"/>
        </w:rPr>
        <w:t>globális</w:t>
      </w:r>
      <w:proofErr w:type="gramEnd"/>
      <w:r w:rsidRPr="00784563">
        <w:rPr>
          <w:sz w:val="24"/>
          <w:szCs w:val="24"/>
        </w:rPr>
        <w:t xml:space="preserve"> felmelegedés tehát két különböző fogalom, ugyanakkor a kiváltó okuk ugyanaz: az üvegházhatású gázok, elsősorban a szén-dioxid koncentrációjának növekedése a légkörben.</w:t>
      </w:r>
    </w:p>
    <w:p w:rsidR="00784563" w:rsidRPr="00D44BF4" w:rsidRDefault="00784563" w:rsidP="00784563">
      <w:pPr>
        <w:rPr>
          <w:sz w:val="24"/>
          <w:szCs w:val="24"/>
        </w:rPr>
      </w:pPr>
      <w:r>
        <w:rPr>
          <w:sz w:val="24"/>
          <w:szCs w:val="24"/>
        </w:rPr>
        <w:t xml:space="preserve">Forrás: </w:t>
      </w:r>
      <w:hyperlink r:id="rId8" w:history="1">
        <w:r w:rsidRPr="00867745">
          <w:rPr>
            <w:rStyle w:val="Hiperhivatkozs"/>
            <w:sz w:val="24"/>
            <w:szCs w:val="24"/>
          </w:rPr>
          <w:t>https://xforest.hu/globalis-felmelegedes/</w:t>
        </w:r>
      </w:hyperlink>
      <w:r>
        <w:rPr>
          <w:sz w:val="24"/>
          <w:szCs w:val="24"/>
        </w:rPr>
        <w:t xml:space="preserve"> </w:t>
      </w:r>
    </w:p>
    <w:p w:rsidR="00784563" w:rsidRDefault="00784563">
      <w:pPr>
        <w:rPr>
          <w:sz w:val="24"/>
          <w:szCs w:val="24"/>
        </w:rPr>
      </w:pPr>
    </w:p>
    <w:p w:rsidR="006C356D" w:rsidRPr="00E16B19" w:rsidRDefault="00E16B19">
      <w:pPr>
        <w:rPr>
          <w:b/>
          <w:i/>
          <w:sz w:val="24"/>
          <w:szCs w:val="24"/>
        </w:rPr>
      </w:pPr>
      <w:proofErr w:type="gramStart"/>
      <w:r w:rsidRPr="00E16B19">
        <w:rPr>
          <w:b/>
          <w:i/>
          <w:sz w:val="24"/>
          <w:szCs w:val="24"/>
        </w:rPr>
        <w:t>üvegházgázok</w:t>
      </w:r>
      <w:proofErr w:type="gramEnd"/>
      <w:r w:rsidRPr="00E16B19">
        <w:rPr>
          <w:b/>
          <w:i/>
          <w:sz w:val="24"/>
          <w:szCs w:val="24"/>
        </w:rPr>
        <w:t>:</w:t>
      </w:r>
    </w:p>
    <w:p w:rsidR="00E16B19" w:rsidRDefault="00E16B19">
      <w:pPr>
        <w:rPr>
          <w:sz w:val="24"/>
          <w:szCs w:val="24"/>
        </w:rPr>
      </w:pPr>
      <w:r w:rsidRPr="00E16B19">
        <w:rPr>
          <w:sz w:val="24"/>
          <w:szCs w:val="24"/>
        </w:rPr>
        <w:t xml:space="preserve">A Föld légkörében természetes módon is megtalálható üvegházgázok hasonló </w:t>
      </w:r>
      <w:proofErr w:type="gramStart"/>
      <w:r w:rsidRPr="00E16B19">
        <w:rPr>
          <w:sz w:val="24"/>
          <w:szCs w:val="24"/>
        </w:rPr>
        <w:t>funkciót</w:t>
      </w:r>
      <w:proofErr w:type="gramEnd"/>
      <w:r w:rsidRPr="00E16B19">
        <w:rPr>
          <w:sz w:val="24"/>
          <w:szCs w:val="24"/>
        </w:rPr>
        <w:t xml:space="preserve"> töltenek be, mint a melegházak üvegburája. Beengedik a Nap fényét, de kifelé viszont elállják az útját. A legfontosabb üvegházgázok a szén-dioxid (CO</w:t>
      </w:r>
      <w:r w:rsidRPr="00E16B19">
        <w:rPr>
          <w:sz w:val="24"/>
          <w:szCs w:val="24"/>
          <w:vertAlign w:val="subscript"/>
        </w:rPr>
        <w:t>2</w:t>
      </w:r>
      <w:r w:rsidRPr="00E16B19">
        <w:rPr>
          <w:sz w:val="24"/>
          <w:szCs w:val="24"/>
        </w:rPr>
        <w:t>), a metán (CH</w:t>
      </w:r>
      <w:r w:rsidRPr="00E16B19">
        <w:rPr>
          <w:sz w:val="24"/>
          <w:szCs w:val="24"/>
          <w:vertAlign w:val="subscript"/>
        </w:rPr>
        <w:t>4</w:t>
      </w:r>
      <w:r w:rsidRPr="00E16B19">
        <w:rPr>
          <w:sz w:val="24"/>
          <w:szCs w:val="24"/>
        </w:rPr>
        <w:t xml:space="preserve">), a </w:t>
      </w:r>
      <w:proofErr w:type="spellStart"/>
      <w:r w:rsidRPr="00E16B19">
        <w:rPr>
          <w:sz w:val="24"/>
          <w:szCs w:val="24"/>
        </w:rPr>
        <w:t>dinitrogén</w:t>
      </w:r>
      <w:proofErr w:type="spellEnd"/>
      <w:r w:rsidRPr="00E16B19">
        <w:rPr>
          <w:sz w:val="24"/>
          <w:szCs w:val="24"/>
        </w:rPr>
        <w:t>-oxid (N</w:t>
      </w:r>
      <w:r w:rsidRPr="00E16B19">
        <w:rPr>
          <w:sz w:val="24"/>
          <w:szCs w:val="24"/>
          <w:vertAlign w:val="subscript"/>
        </w:rPr>
        <w:t>2</w:t>
      </w:r>
      <w:r w:rsidRPr="00E16B19">
        <w:rPr>
          <w:sz w:val="24"/>
          <w:szCs w:val="24"/>
        </w:rPr>
        <w:t>O) és a halogénezett szénhidrogének.</w:t>
      </w:r>
    </w:p>
    <w:p w:rsidR="00E16B19" w:rsidRPr="00E16B19" w:rsidRDefault="00E16B19">
      <w:pPr>
        <w:rPr>
          <w:sz w:val="24"/>
          <w:szCs w:val="24"/>
        </w:rPr>
      </w:pPr>
      <w:r w:rsidRPr="00E16B19">
        <w:rPr>
          <w:bCs/>
          <w:sz w:val="24"/>
          <w:szCs w:val="24"/>
        </w:rPr>
        <w:t>A szén-dioxid üvegházhatása ke</w:t>
      </w:r>
      <w:r>
        <w:rPr>
          <w:bCs/>
          <w:sz w:val="24"/>
          <w:szCs w:val="24"/>
        </w:rPr>
        <w:t>vésbé erős, mint például a metáné, mégis egymaga 63%-</w:t>
      </w:r>
      <w:proofErr w:type="spellStart"/>
      <w:r>
        <w:rPr>
          <w:bCs/>
          <w:sz w:val="24"/>
          <w:szCs w:val="24"/>
        </w:rPr>
        <w:t>ban</w:t>
      </w:r>
      <w:proofErr w:type="spellEnd"/>
      <w:r w:rsidRPr="00E16B19">
        <w:rPr>
          <w:bCs/>
          <w:sz w:val="24"/>
          <w:szCs w:val="24"/>
        </w:rPr>
        <w:t xml:space="preserve"> fel</w:t>
      </w:r>
      <w:r>
        <w:rPr>
          <w:bCs/>
          <w:sz w:val="24"/>
          <w:szCs w:val="24"/>
        </w:rPr>
        <w:t xml:space="preserve">elős a </w:t>
      </w:r>
      <w:proofErr w:type="gramStart"/>
      <w:r>
        <w:rPr>
          <w:bCs/>
          <w:sz w:val="24"/>
          <w:szCs w:val="24"/>
        </w:rPr>
        <w:t>globális</w:t>
      </w:r>
      <w:proofErr w:type="gramEnd"/>
      <w:r>
        <w:rPr>
          <w:bCs/>
          <w:sz w:val="24"/>
          <w:szCs w:val="24"/>
        </w:rPr>
        <w:t xml:space="preserve"> felmelegedésért, e</w:t>
      </w:r>
      <w:r w:rsidRPr="00E16B19">
        <w:rPr>
          <w:bCs/>
          <w:sz w:val="24"/>
          <w:szCs w:val="24"/>
        </w:rPr>
        <w:t>gyszerűen azért, mert </w:t>
      </w:r>
      <w:r>
        <w:rPr>
          <w:bCs/>
          <w:sz w:val="24"/>
          <w:szCs w:val="24"/>
        </w:rPr>
        <w:t>hatalmas</w:t>
      </w:r>
      <w:r w:rsidRPr="00E16B19">
        <w:rPr>
          <w:bCs/>
          <w:sz w:val="24"/>
          <w:szCs w:val="24"/>
        </w:rPr>
        <w:t xml:space="preserve"> mennyiségben </w:t>
      </w:r>
      <w:r>
        <w:rPr>
          <w:bCs/>
          <w:sz w:val="24"/>
          <w:szCs w:val="24"/>
        </w:rPr>
        <w:t xml:space="preserve">kerül a levegőbe </w:t>
      </w:r>
      <w:r w:rsidRPr="00E16B19">
        <w:rPr>
          <w:bCs/>
          <w:sz w:val="24"/>
          <w:szCs w:val="24"/>
        </w:rPr>
        <w:t>a fosszilis energiahordozók elégetésével.</w:t>
      </w:r>
    </w:p>
    <w:p w:rsidR="00B82C4F" w:rsidRPr="00D44BF4" w:rsidRDefault="00B82C4F" w:rsidP="00B82C4F">
      <w:pPr>
        <w:rPr>
          <w:sz w:val="24"/>
          <w:szCs w:val="24"/>
        </w:rPr>
      </w:pPr>
      <w:r>
        <w:rPr>
          <w:sz w:val="24"/>
          <w:szCs w:val="24"/>
        </w:rPr>
        <w:t xml:space="preserve">Forrás: </w:t>
      </w:r>
      <w:hyperlink r:id="rId9" w:history="1">
        <w:r w:rsidRPr="00867745">
          <w:rPr>
            <w:rStyle w:val="Hiperhivatkozs"/>
            <w:sz w:val="24"/>
            <w:szCs w:val="24"/>
          </w:rPr>
          <w:t>https://xforest.hu/globalis-felmelegedes/</w:t>
        </w:r>
      </w:hyperlink>
      <w:r>
        <w:rPr>
          <w:sz w:val="24"/>
          <w:szCs w:val="24"/>
        </w:rPr>
        <w:t xml:space="preserve"> </w:t>
      </w:r>
    </w:p>
    <w:p w:rsidR="006C356D" w:rsidRDefault="006C356D">
      <w:pPr>
        <w:rPr>
          <w:sz w:val="24"/>
          <w:szCs w:val="24"/>
        </w:rPr>
      </w:pPr>
    </w:p>
    <w:p w:rsidR="009B1AED" w:rsidRDefault="009B1AED">
      <w:pPr>
        <w:rPr>
          <w:sz w:val="24"/>
          <w:szCs w:val="24"/>
        </w:rPr>
      </w:pPr>
    </w:p>
    <w:p w:rsidR="009B1AED" w:rsidRPr="009B1AED" w:rsidRDefault="009B1AED">
      <w:pPr>
        <w:rPr>
          <w:b/>
          <w:i/>
          <w:sz w:val="24"/>
          <w:szCs w:val="24"/>
        </w:rPr>
      </w:pPr>
      <w:proofErr w:type="gramStart"/>
      <w:r w:rsidRPr="009B1AED">
        <w:rPr>
          <w:b/>
          <w:i/>
          <w:sz w:val="24"/>
          <w:szCs w:val="24"/>
        </w:rPr>
        <w:lastRenderedPageBreak/>
        <w:t>kereskedelmi</w:t>
      </w:r>
      <w:proofErr w:type="gramEnd"/>
      <w:r w:rsidRPr="009B1AED">
        <w:rPr>
          <w:b/>
          <w:i/>
          <w:sz w:val="24"/>
          <w:szCs w:val="24"/>
        </w:rPr>
        <w:t xml:space="preserve"> szálláshelyek:</w:t>
      </w:r>
    </w:p>
    <w:p w:rsidR="00A137F3" w:rsidRPr="00A137F3" w:rsidRDefault="00A137F3" w:rsidP="00A137F3">
      <w:pPr>
        <w:rPr>
          <w:sz w:val="24"/>
          <w:szCs w:val="24"/>
        </w:rPr>
      </w:pPr>
      <w:r w:rsidRPr="00A137F3">
        <w:rPr>
          <w:b/>
          <w:bCs/>
          <w:sz w:val="24"/>
          <w:szCs w:val="24"/>
        </w:rPr>
        <w:t>Kereskedelmi szálláshely:</w:t>
      </w:r>
      <w:r w:rsidRPr="00A137F3">
        <w:rPr>
          <w:sz w:val="24"/>
          <w:szCs w:val="24"/>
        </w:rPr>
        <w:t> szálláshely-szolgáltatás folytatása céljából létesített vagy használt épület (szálloda, panzió, kemping, üdülőháztelep, közösségi szálláshely), kivéve a magánszálláshely és az egyéb szálláshely.</w:t>
      </w:r>
    </w:p>
    <w:p w:rsidR="00A137F3" w:rsidRPr="00A137F3" w:rsidRDefault="00A137F3" w:rsidP="00A137F3">
      <w:pPr>
        <w:rPr>
          <w:sz w:val="24"/>
          <w:szCs w:val="24"/>
        </w:rPr>
      </w:pPr>
      <w:r w:rsidRPr="00A137F3">
        <w:rPr>
          <w:sz w:val="24"/>
          <w:szCs w:val="24"/>
        </w:rPr>
        <w:t>A szálláshely-szolgáltatási tevékenység folytatásának részletes feltételeiről és a szálláshely-üzemeltetési engedély kiadásának rendjéről szóló 239/2009. (X. 20.) Kormányrendelet szerint:</w:t>
      </w:r>
    </w:p>
    <w:p w:rsidR="00A137F3" w:rsidRPr="00A137F3" w:rsidRDefault="00A137F3" w:rsidP="00A137F3">
      <w:pPr>
        <w:numPr>
          <w:ilvl w:val="0"/>
          <w:numId w:val="1"/>
        </w:numPr>
        <w:rPr>
          <w:sz w:val="24"/>
          <w:szCs w:val="24"/>
        </w:rPr>
      </w:pPr>
      <w:r w:rsidRPr="00A137F3">
        <w:rPr>
          <w:b/>
          <w:bCs/>
          <w:sz w:val="24"/>
          <w:szCs w:val="24"/>
        </w:rPr>
        <w:t>Szálloda:</w:t>
      </w:r>
      <w:r w:rsidRPr="00A137F3">
        <w:rPr>
          <w:sz w:val="24"/>
          <w:szCs w:val="24"/>
        </w:rPr>
        <w:t xml:space="preserve"> az a kizárólag szálláshely-szolgáltatás folytatása céljából létesített szálláshelytípus, amelyben a szálláshely és a reggeli szolgáltatása mellett egyéb szolgáltatásokat is nyújtanak a szálláshely-szolgáltatás keretében, és ahol a hasznosított szobák száma legalább tizenegy. 2013. január 1-jétől a KSH publikációiban a védjegyrendszer szerint minősített tagszállodák adatait közli. A szállodai </w:t>
      </w:r>
      <w:proofErr w:type="gramStart"/>
      <w:r w:rsidRPr="00A137F3">
        <w:rPr>
          <w:sz w:val="24"/>
          <w:szCs w:val="24"/>
        </w:rPr>
        <w:t>kategória</w:t>
      </w:r>
      <w:proofErr w:type="gramEnd"/>
      <w:r w:rsidRPr="00A137F3">
        <w:rPr>
          <w:sz w:val="24"/>
          <w:szCs w:val="24"/>
        </w:rPr>
        <w:t xml:space="preserve"> megegyezik a Magyar Szállodák és Éttermek Szövetsége által kidolgozott szállodaminősítési rendszerrel. Az Európai Unió tagországainak jelentős részében egységesen alkalmazott szállodaminősítő rendszer a </w:t>
      </w:r>
      <w:proofErr w:type="spellStart"/>
      <w:r w:rsidRPr="00A137F3">
        <w:rPr>
          <w:sz w:val="24"/>
          <w:szCs w:val="24"/>
        </w:rPr>
        <w:t>Hotelstars</w:t>
      </w:r>
      <w:proofErr w:type="spellEnd"/>
      <w:r w:rsidRPr="00A137F3">
        <w:rPr>
          <w:sz w:val="24"/>
          <w:szCs w:val="24"/>
        </w:rPr>
        <w:t xml:space="preserve"> Union. A szállodák összesen adata tartalmazza azokat a szállodaegységeket is, amelyek </w:t>
      </w:r>
      <w:proofErr w:type="gramStart"/>
      <w:r w:rsidRPr="00A137F3">
        <w:rPr>
          <w:sz w:val="24"/>
          <w:szCs w:val="24"/>
        </w:rPr>
        <w:t>kategória</w:t>
      </w:r>
      <w:proofErr w:type="gramEnd"/>
      <w:r w:rsidRPr="00A137F3">
        <w:rPr>
          <w:sz w:val="24"/>
          <w:szCs w:val="24"/>
        </w:rPr>
        <w:t xml:space="preserve"> megjelölés nélkül üzemeltek.</w:t>
      </w:r>
    </w:p>
    <w:p w:rsidR="00A137F3" w:rsidRPr="00A137F3" w:rsidRDefault="00A137F3" w:rsidP="00A137F3">
      <w:pPr>
        <w:numPr>
          <w:ilvl w:val="0"/>
          <w:numId w:val="1"/>
        </w:numPr>
        <w:rPr>
          <w:sz w:val="24"/>
          <w:szCs w:val="24"/>
        </w:rPr>
      </w:pPr>
      <w:r w:rsidRPr="00A137F3">
        <w:rPr>
          <w:b/>
          <w:bCs/>
          <w:sz w:val="24"/>
          <w:szCs w:val="24"/>
        </w:rPr>
        <w:t>Panzió:</w:t>
      </w:r>
      <w:r w:rsidRPr="00A137F3">
        <w:rPr>
          <w:sz w:val="24"/>
          <w:szCs w:val="24"/>
        </w:rPr>
        <w:t> az a kizárólag szálláshely-szolgáltatás folytatása céljából létesített szálláshelytípus, amelyben a szálláshely szolgáltatása mellett a reggeli szolgáltatás kötelező, a hasznosított szobák száma legalább hat, de legfeljebb huszonöt, az ágyak száma legalább tizenegy.</w:t>
      </w:r>
    </w:p>
    <w:p w:rsidR="00A137F3" w:rsidRPr="00A137F3" w:rsidRDefault="00A137F3" w:rsidP="00A137F3">
      <w:pPr>
        <w:numPr>
          <w:ilvl w:val="0"/>
          <w:numId w:val="1"/>
        </w:numPr>
        <w:rPr>
          <w:sz w:val="24"/>
          <w:szCs w:val="24"/>
        </w:rPr>
      </w:pPr>
      <w:r w:rsidRPr="00A137F3">
        <w:rPr>
          <w:b/>
          <w:bCs/>
          <w:sz w:val="24"/>
          <w:szCs w:val="24"/>
        </w:rPr>
        <w:t>Kemping:</w:t>
      </w:r>
      <w:r w:rsidRPr="00A137F3">
        <w:rPr>
          <w:sz w:val="24"/>
          <w:szCs w:val="24"/>
        </w:rPr>
        <w:t xml:space="preserve"> az a kizárólag szálláshely-szolgáltatás folytatása céljából létesített, külön zárt területen működő szálláshelytípus, amelyben szállás céljából a vendégek és </w:t>
      </w:r>
      <w:proofErr w:type="spellStart"/>
      <w:r w:rsidRPr="00A137F3">
        <w:rPr>
          <w:sz w:val="24"/>
          <w:szCs w:val="24"/>
        </w:rPr>
        <w:t>járműveik</w:t>
      </w:r>
      <w:proofErr w:type="spellEnd"/>
      <w:r w:rsidRPr="00A137F3">
        <w:rPr>
          <w:sz w:val="24"/>
          <w:szCs w:val="24"/>
        </w:rPr>
        <w:t xml:space="preserve"> számára elkülönült területet (területegység), illetve üdülőházat (együtt: lakóegység) és egyéb kiszolgáló létesítményeket és szolgáltatásokat (így különösen tisztálkodási, mosási, főzési, egészségügyi célokat szolgáló vizesblokk, energiaellátás, digitális </w:t>
      </w:r>
      <w:proofErr w:type="gramStart"/>
      <w:r w:rsidRPr="00A137F3">
        <w:rPr>
          <w:sz w:val="24"/>
          <w:szCs w:val="24"/>
        </w:rPr>
        <w:t>információ</w:t>
      </w:r>
      <w:proofErr w:type="gramEnd"/>
      <w:r w:rsidRPr="00A137F3">
        <w:rPr>
          <w:sz w:val="24"/>
          <w:szCs w:val="24"/>
        </w:rPr>
        <w:t xml:space="preserve"> (WIFI), portaszolgálat) biztosítanak, és amely legalább kilenc lakóegységgel rendelkezik.</w:t>
      </w:r>
    </w:p>
    <w:p w:rsidR="00A137F3" w:rsidRPr="00A137F3" w:rsidRDefault="00A137F3" w:rsidP="00A137F3">
      <w:pPr>
        <w:numPr>
          <w:ilvl w:val="0"/>
          <w:numId w:val="1"/>
        </w:numPr>
        <w:rPr>
          <w:sz w:val="24"/>
          <w:szCs w:val="24"/>
        </w:rPr>
      </w:pPr>
      <w:r w:rsidRPr="00A137F3">
        <w:rPr>
          <w:b/>
          <w:bCs/>
          <w:sz w:val="24"/>
          <w:szCs w:val="24"/>
        </w:rPr>
        <w:t>Üdülőház: (2019. december 31-ig):</w:t>
      </w:r>
      <w:r w:rsidRPr="00A137F3">
        <w:rPr>
          <w:sz w:val="24"/>
          <w:szCs w:val="24"/>
        </w:rPr>
        <w:t> az a kizárólag szálláshely-szolgáltatás folytatása céljából, közművesített területen létesített szálláshelytípus, amelyben a vendégek részére a szállást különálló épületben vagy önálló bejárattal rendelkező épületrészben (üdülőegységben) nyújtják, függetlenül a szobák vagy ágyak számától.</w:t>
      </w:r>
    </w:p>
    <w:p w:rsidR="00A137F3" w:rsidRPr="00A137F3" w:rsidRDefault="00A137F3" w:rsidP="00A137F3">
      <w:pPr>
        <w:numPr>
          <w:ilvl w:val="0"/>
          <w:numId w:val="1"/>
        </w:numPr>
        <w:rPr>
          <w:sz w:val="24"/>
          <w:szCs w:val="24"/>
        </w:rPr>
      </w:pPr>
      <w:r w:rsidRPr="00A137F3">
        <w:rPr>
          <w:b/>
          <w:bCs/>
          <w:sz w:val="24"/>
          <w:szCs w:val="24"/>
        </w:rPr>
        <w:t>Üdülőháztelep (2020. január 1-től):</w:t>
      </w:r>
      <w:r w:rsidRPr="00A137F3">
        <w:rPr>
          <w:sz w:val="24"/>
          <w:szCs w:val="24"/>
        </w:rPr>
        <w:t> az a kizárólag szálláshely-szolgáltatás folytatása céljából, közművesített területen létesített szálláshelytípus, amelyben a vendégek részére a szállást különálló épületben vagy önálló bejárattal rendelkező épületrészben (üdülőegységben) nyújtják, amennyiben az e célra hasznosított szálláshelyek száma eléri a hármat, függetlenül a szobák vagy ágyak számától.</w:t>
      </w:r>
    </w:p>
    <w:p w:rsidR="00A137F3" w:rsidRPr="00A137F3" w:rsidRDefault="00A137F3" w:rsidP="00A137F3">
      <w:pPr>
        <w:numPr>
          <w:ilvl w:val="0"/>
          <w:numId w:val="1"/>
        </w:numPr>
        <w:rPr>
          <w:sz w:val="24"/>
          <w:szCs w:val="24"/>
        </w:rPr>
      </w:pPr>
      <w:r w:rsidRPr="00A137F3">
        <w:rPr>
          <w:b/>
          <w:bCs/>
          <w:sz w:val="24"/>
          <w:szCs w:val="24"/>
        </w:rPr>
        <w:t>Közösségi szálláshely:</w:t>
      </w:r>
      <w:r w:rsidRPr="00A137F3">
        <w:rPr>
          <w:sz w:val="24"/>
          <w:szCs w:val="24"/>
        </w:rPr>
        <w:t xml:space="preserve"> az a kizárólag szálláshely-szolgáltatás folytatása céljából létesített szálláshelytípus, amelyben az egy szobában található ágyak külön-külön is </w:t>
      </w:r>
      <w:r w:rsidRPr="00A137F3">
        <w:rPr>
          <w:sz w:val="24"/>
          <w:szCs w:val="24"/>
        </w:rPr>
        <w:lastRenderedPageBreak/>
        <w:t>hasznosításra kerülnek, s ahol az e célra hasznosított szobák száma legalább három, az ágyak száma legalább tizenkettő. (2010-ig ifjúsági szálló és turistaszálló.)</w:t>
      </w:r>
    </w:p>
    <w:p w:rsidR="003F3039" w:rsidRDefault="007A7CFA">
      <w:pPr>
        <w:rPr>
          <w:sz w:val="24"/>
          <w:szCs w:val="24"/>
        </w:rPr>
      </w:pPr>
      <w:r>
        <w:rPr>
          <w:sz w:val="24"/>
          <w:szCs w:val="24"/>
        </w:rPr>
        <w:t xml:space="preserve">Forrás: </w:t>
      </w:r>
      <w:hyperlink r:id="rId10" w:history="1">
        <w:r w:rsidRPr="00867745">
          <w:rPr>
            <w:rStyle w:val="Hiperhivatkozs"/>
            <w:sz w:val="24"/>
            <w:szCs w:val="24"/>
          </w:rPr>
          <w:t>https://www.ksh.hu/docs/hun/modsz/modsz45.html</w:t>
        </w:r>
      </w:hyperlink>
      <w:r>
        <w:rPr>
          <w:sz w:val="24"/>
          <w:szCs w:val="24"/>
        </w:rPr>
        <w:t xml:space="preserve"> </w:t>
      </w:r>
    </w:p>
    <w:p w:rsidR="007A7CFA" w:rsidRDefault="007A7CFA">
      <w:pPr>
        <w:rPr>
          <w:sz w:val="24"/>
          <w:szCs w:val="24"/>
        </w:rPr>
      </w:pPr>
    </w:p>
    <w:p w:rsidR="007A7CFA" w:rsidRPr="00F75EBB" w:rsidRDefault="00F75EBB">
      <w:pPr>
        <w:rPr>
          <w:b/>
          <w:i/>
          <w:sz w:val="24"/>
          <w:szCs w:val="24"/>
        </w:rPr>
      </w:pPr>
      <w:r>
        <w:rPr>
          <w:b/>
          <w:i/>
          <w:sz w:val="24"/>
          <w:szCs w:val="24"/>
        </w:rPr>
        <w:t>Európai zöld megállapodás</w:t>
      </w:r>
    </w:p>
    <w:p w:rsidR="00F75EBB" w:rsidRPr="00F75EBB" w:rsidRDefault="00F75EBB" w:rsidP="00F75EBB">
      <w:pPr>
        <w:rPr>
          <w:sz w:val="24"/>
          <w:szCs w:val="24"/>
        </w:rPr>
      </w:pPr>
      <w:r w:rsidRPr="00F75EBB">
        <w:rPr>
          <w:sz w:val="24"/>
          <w:szCs w:val="24"/>
        </w:rPr>
        <w:t xml:space="preserve">Az Európai </w:t>
      </w:r>
      <w:proofErr w:type="gramStart"/>
      <w:r w:rsidRPr="00F75EBB">
        <w:rPr>
          <w:sz w:val="24"/>
          <w:szCs w:val="24"/>
        </w:rPr>
        <w:t>horizont</w:t>
      </w:r>
      <w:proofErr w:type="gramEnd"/>
      <w:r w:rsidRPr="00F75EBB">
        <w:rPr>
          <w:sz w:val="24"/>
          <w:szCs w:val="24"/>
        </w:rPr>
        <w:t> az EU következő, 2021-ben induló kutatási és innovációs programja. </w:t>
      </w:r>
    </w:p>
    <w:p w:rsidR="00F75EBB" w:rsidRPr="00F75EBB" w:rsidRDefault="00F75EBB" w:rsidP="00F75EBB">
      <w:pPr>
        <w:rPr>
          <w:sz w:val="24"/>
          <w:szCs w:val="24"/>
        </w:rPr>
      </w:pPr>
      <w:r w:rsidRPr="00F75EBB">
        <w:rPr>
          <w:sz w:val="24"/>
          <w:szCs w:val="24"/>
        </w:rPr>
        <w:t>Hathatós eszközei és innovatív irányítási folyamatai azt a rendszerszintű átalakulást hivatottak elősegíteni, amely elengedhetetlen a klímasemlegesség és az inkluzív ökológiai és gazdasági átmenet megvalósulásához.</w:t>
      </w:r>
    </w:p>
    <w:p w:rsidR="00F75EBB" w:rsidRPr="00F75EBB" w:rsidRDefault="00F75EBB" w:rsidP="00F75EBB">
      <w:pPr>
        <w:rPr>
          <w:sz w:val="24"/>
          <w:szCs w:val="24"/>
        </w:rPr>
      </w:pPr>
      <w:r w:rsidRPr="00F75EBB">
        <w:rPr>
          <w:sz w:val="24"/>
          <w:szCs w:val="24"/>
        </w:rPr>
        <w:t>Az Európai Horizont – más uniós programokkal karöltve – kulcsszerepet játszik majd a tagállamokon belüli köz- és magánberuházások ösztönzésében. Az említett programok együttes támogatást biztosítanak az új technológiák, fenntartható megoldások és forradalmi innovációk megvalósulásához, és hozzájárulnak ahhoz, hogy a sikeres új módszerek Európában és az egész világon elterjedjenek.</w:t>
      </w:r>
    </w:p>
    <w:p w:rsidR="00F75EBB" w:rsidRPr="00F75EBB" w:rsidRDefault="00F75EBB" w:rsidP="00F75EBB">
      <w:pPr>
        <w:rPr>
          <w:sz w:val="24"/>
          <w:szCs w:val="24"/>
        </w:rPr>
      </w:pPr>
      <w:r w:rsidRPr="00F75EBB">
        <w:rPr>
          <w:sz w:val="24"/>
          <w:szCs w:val="24"/>
        </w:rPr>
        <w:t>Az Európai horizont költségvetésének több mint 35%-</w:t>
      </w:r>
      <w:proofErr w:type="gramStart"/>
      <w:r w:rsidRPr="00F75EBB">
        <w:rPr>
          <w:sz w:val="24"/>
          <w:szCs w:val="24"/>
        </w:rPr>
        <w:t>a</w:t>
      </w:r>
      <w:proofErr w:type="gramEnd"/>
      <w:r w:rsidRPr="00F75EBB">
        <w:rPr>
          <w:sz w:val="24"/>
          <w:szCs w:val="24"/>
        </w:rPr>
        <w:t xml:space="preserve"> az éghajlat-politikai célkitűzések támogatását célozza majd.</w:t>
      </w:r>
    </w:p>
    <w:p w:rsidR="00F75EBB" w:rsidRPr="00206D8E" w:rsidRDefault="00206D8E">
      <w:pPr>
        <w:rPr>
          <w:i/>
          <w:sz w:val="24"/>
          <w:szCs w:val="24"/>
        </w:rPr>
      </w:pPr>
      <w:r w:rsidRPr="00206D8E">
        <w:rPr>
          <w:i/>
          <w:sz w:val="24"/>
          <w:szCs w:val="24"/>
        </w:rPr>
        <w:t xml:space="preserve">Zöld küldetések: </w:t>
      </w:r>
    </w:p>
    <w:p w:rsidR="00206D8E" w:rsidRPr="00206D8E" w:rsidRDefault="00206D8E" w:rsidP="00206D8E">
      <w:pPr>
        <w:spacing w:after="0"/>
        <w:rPr>
          <w:sz w:val="24"/>
          <w:szCs w:val="24"/>
        </w:rPr>
      </w:pPr>
      <w:r w:rsidRPr="00206D8E">
        <w:rPr>
          <w:sz w:val="24"/>
          <w:szCs w:val="24"/>
        </w:rPr>
        <w:t xml:space="preserve">Az Európai </w:t>
      </w:r>
      <w:proofErr w:type="gramStart"/>
      <w:r w:rsidRPr="00206D8E">
        <w:rPr>
          <w:sz w:val="24"/>
          <w:szCs w:val="24"/>
        </w:rPr>
        <w:t>horizont</w:t>
      </w:r>
      <w:proofErr w:type="gramEnd"/>
      <w:r w:rsidRPr="00206D8E">
        <w:rPr>
          <w:sz w:val="24"/>
          <w:szCs w:val="24"/>
        </w:rPr>
        <w:t xml:space="preserve"> keretében megfogalmazott küldetések célja a kutatás és az innováció mobilizálása, a cselekvésre ösztönzés, a hatásgyakorlás, valamint a megoldások demonstrálása és európai közjavak előállítása.</w:t>
      </w:r>
      <w:r w:rsidRPr="00206D8E">
        <w:rPr>
          <w:sz w:val="24"/>
          <w:szCs w:val="24"/>
        </w:rPr>
        <w:br/>
      </w:r>
      <w:bookmarkStart w:id="0" w:name="_GoBack"/>
      <w:bookmarkEnd w:id="0"/>
      <w:r w:rsidRPr="00206D8E">
        <w:rPr>
          <w:sz w:val="24"/>
          <w:szCs w:val="24"/>
        </w:rPr>
        <w:t>Az Európai horizonton belül meghatározott öt küldetési terület közül az alábbi négy közvetlenül hozzájárul az európai zöld megállapodás célkitűzéseinek megvalósításához:</w:t>
      </w:r>
    </w:p>
    <w:p w:rsidR="00206D8E" w:rsidRPr="00206D8E" w:rsidRDefault="00206D8E" w:rsidP="00206D8E">
      <w:pPr>
        <w:numPr>
          <w:ilvl w:val="0"/>
          <w:numId w:val="2"/>
        </w:numPr>
        <w:spacing w:after="0"/>
        <w:rPr>
          <w:sz w:val="24"/>
          <w:szCs w:val="24"/>
        </w:rPr>
      </w:pPr>
      <w:r w:rsidRPr="00206D8E">
        <w:rPr>
          <w:sz w:val="24"/>
          <w:szCs w:val="24"/>
        </w:rPr>
        <w:t>Egészséges óceánok, tengerek, parti tengervizek és belvizek</w:t>
      </w:r>
    </w:p>
    <w:p w:rsidR="00206D8E" w:rsidRPr="00206D8E" w:rsidRDefault="00206D8E" w:rsidP="00206D8E">
      <w:pPr>
        <w:numPr>
          <w:ilvl w:val="0"/>
          <w:numId w:val="2"/>
        </w:numPr>
        <w:spacing w:after="0"/>
        <w:rPr>
          <w:sz w:val="24"/>
          <w:szCs w:val="24"/>
        </w:rPr>
      </w:pPr>
      <w:r w:rsidRPr="00206D8E">
        <w:rPr>
          <w:sz w:val="24"/>
          <w:szCs w:val="24"/>
        </w:rPr>
        <w:t>Klímasemleges és intelligens városok</w:t>
      </w:r>
    </w:p>
    <w:p w:rsidR="00206D8E" w:rsidRPr="00206D8E" w:rsidRDefault="00206D8E" w:rsidP="00206D8E">
      <w:pPr>
        <w:numPr>
          <w:ilvl w:val="0"/>
          <w:numId w:val="2"/>
        </w:numPr>
        <w:spacing w:after="0"/>
        <w:rPr>
          <w:sz w:val="24"/>
          <w:szCs w:val="24"/>
        </w:rPr>
      </w:pPr>
      <w:r w:rsidRPr="00206D8E">
        <w:rPr>
          <w:sz w:val="24"/>
          <w:szCs w:val="24"/>
        </w:rPr>
        <w:t>Talajegészség és élelmiszerek</w:t>
      </w:r>
    </w:p>
    <w:p w:rsidR="00206D8E" w:rsidRPr="00206D8E" w:rsidRDefault="00206D8E" w:rsidP="00206D8E">
      <w:pPr>
        <w:numPr>
          <w:ilvl w:val="0"/>
          <w:numId w:val="2"/>
        </w:numPr>
        <w:spacing w:after="0"/>
        <w:rPr>
          <w:sz w:val="24"/>
          <w:szCs w:val="24"/>
        </w:rPr>
      </w:pPr>
      <w:r w:rsidRPr="00206D8E">
        <w:rPr>
          <w:sz w:val="24"/>
          <w:szCs w:val="24"/>
        </w:rPr>
        <w:t>Alkalmazkodás az éghajlatváltozáshoz, ideértve a társadalmi átalakulásokat is</w:t>
      </w:r>
    </w:p>
    <w:p w:rsidR="00206D8E" w:rsidRDefault="00206D8E">
      <w:pPr>
        <w:rPr>
          <w:sz w:val="24"/>
          <w:szCs w:val="24"/>
        </w:rPr>
      </w:pPr>
    </w:p>
    <w:p w:rsidR="00206D8E" w:rsidRDefault="00206D8E">
      <w:pPr>
        <w:rPr>
          <w:sz w:val="24"/>
          <w:szCs w:val="24"/>
        </w:rPr>
      </w:pPr>
      <w:r>
        <w:rPr>
          <w:sz w:val="24"/>
          <w:szCs w:val="24"/>
        </w:rPr>
        <w:t xml:space="preserve">Forrás: </w:t>
      </w:r>
      <w:hyperlink r:id="rId11" w:history="1">
        <w:r w:rsidRPr="009B6658">
          <w:rPr>
            <w:rStyle w:val="Hiperhivatkozs"/>
            <w:sz w:val="24"/>
            <w:szCs w:val="24"/>
          </w:rPr>
          <w:t>https://ec.europa.eu/info/research-and-innovation/strategy/european-green-deal_hu</w:t>
        </w:r>
      </w:hyperlink>
      <w:r>
        <w:rPr>
          <w:sz w:val="24"/>
          <w:szCs w:val="24"/>
        </w:rPr>
        <w:t xml:space="preserve"> </w:t>
      </w:r>
    </w:p>
    <w:p w:rsidR="007A7CFA" w:rsidRDefault="007A7CFA">
      <w:pPr>
        <w:rPr>
          <w:sz w:val="24"/>
          <w:szCs w:val="24"/>
        </w:rPr>
      </w:pPr>
    </w:p>
    <w:p w:rsidR="007A7CFA" w:rsidRPr="00FB052A" w:rsidRDefault="007A7CFA">
      <w:pPr>
        <w:rPr>
          <w:sz w:val="24"/>
          <w:szCs w:val="24"/>
        </w:rPr>
      </w:pPr>
    </w:p>
    <w:sectPr w:rsidR="007A7CFA" w:rsidRPr="00FB05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F44C5A"/>
    <w:multiLevelType w:val="multilevel"/>
    <w:tmpl w:val="9A62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A401B9"/>
    <w:multiLevelType w:val="multilevel"/>
    <w:tmpl w:val="A710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52A"/>
    <w:rsid w:val="0008705C"/>
    <w:rsid w:val="001D5AF7"/>
    <w:rsid w:val="00206D8E"/>
    <w:rsid w:val="00360ADF"/>
    <w:rsid w:val="003C7E45"/>
    <w:rsid w:val="003F3039"/>
    <w:rsid w:val="0055248D"/>
    <w:rsid w:val="00583411"/>
    <w:rsid w:val="006536AC"/>
    <w:rsid w:val="00661852"/>
    <w:rsid w:val="006C356D"/>
    <w:rsid w:val="00727C28"/>
    <w:rsid w:val="00784563"/>
    <w:rsid w:val="007A7CFA"/>
    <w:rsid w:val="008F309B"/>
    <w:rsid w:val="009871B9"/>
    <w:rsid w:val="009B1AED"/>
    <w:rsid w:val="009D1210"/>
    <w:rsid w:val="00A137F3"/>
    <w:rsid w:val="00B82C4F"/>
    <w:rsid w:val="00D03831"/>
    <w:rsid w:val="00D44BF4"/>
    <w:rsid w:val="00E16B19"/>
    <w:rsid w:val="00F75EBB"/>
    <w:rsid w:val="00FB052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D0CCE"/>
  <w15:chartTrackingRefBased/>
  <w15:docId w15:val="{B46426B9-99A6-4841-9712-FD1D1CB18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82C4F"/>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360A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63159">
      <w:bodyDiv w:val="1"/>
      <w:marLeft w:val="0"/>
      <w:marRight w:val="0"/>
      <w:marTop w:val="0"/>
      <w:marBottom w:val="0"/>
      <w:divBdr>
        <w:top w:val="none" w:sz="0" w:space="0" w:color="auto"/>
        <w:left w:val="none" w:sz="0" w:space="0" w:color="auto"/>
        <w:bottom w:val="none" w:sz="0" w:space="0" w:color="auto"/>
        <w:right w:val="none" w:sz="0" w:space="0" w:color="auto"/>
      </w:divBdr>
    </w:div>
    <w:div w:id="221065472">
      <w:bodyDiv w:val="1"/>
      <w:marLeft w:val="0"/>
      <w:marRight w:val="0"/>
      <w:marTop w:val="0"/>
      <w:marBottom w:val="0"/>
      <w:divBdr>
        <w:top w:val="none" w:sz="0" w:space="0" w:color="auto"/>
        <w:left w:val="none" w:sz="0" w:space="0" w:color="auto"/>
        <w:bottom w:val="none" w:sz="0" w:space="0" w:color="auto"/>
        <w:right w:val="none" w:sz="0" w:space="0" w:color="auto"/>
      </w:divBdr>
    </w:div>
    <w:div w:id="312295388">
      <w:bodyDiv w:val="1"/>
      <w:marLeft w:val="0"/>
      <w:marRight w:val="0"/>
      <w:marTop w:val="0"/>
      <w:marBottom w:val="0"/>
      <w:divBdr>
        <w:top w:val="none" w:sz="0" w:space="0" w:color="auto"/>
        <w:left w:val="none" w:sz="0" w:space="0" w:color="auto"/>
        <w:bottom w:val="none" w:sz="0" w:space="0" w:color="auto"/>
        <w:right w:val="none" w:sz="0" w:space="0" w:color="auto"/>
      </w:divBdr>
    </w:div>
    <w:div w:id="978802121">
      <w:bodyDiv w:val="1"/>
      <w:marLeft w:val="0"/>
      <w:marRight w:val="0"/>
      <w:marTop w:val="0"/>
      <w:marBottom w:val="0"/>
      <w:divBdr>
        <w:top w:val="none" w:sz="0" w:space="0" w:color="auto"/>
        <w:left w:val="none" w:sz="0" w:space="0" w:color="auto"/>
        <w:bottom w:val="none" w:sz="0" w:space="0" w:color="auto"/>
        <w:right w:val="none" w:sz="0" w:space="0" w:color="auto"/>
      </w:divBdr>
    </w:div>
    <w:div w:id="1042244282">
      <w:bodyDiv w:val="1"/>
      <w:marLeft w:val="0"/>
      <w:marRight w:val="0"/>
      <w:marTop w:val="0"/>
      <w:marBottom w:val="0"/>
      <w:divBdr>
        <w:top w:val="none" w:sz="0" w:space="0" w:color="auto"/>
        <w:left w:val="none" w:sz="0" w:space="0" w:color="auto"/>
        <w:bottom w:val="none" w:sz="0" w:space="0" w:color="auto"/>
        <w:right w:val="none" w:sz="0" w:space="0" w:color="auto"/>
      </w:divBdr>
    </w:div>
    <w:div w:id="1151602310">
      <w:bodyDiv w:val="1"/>
      <w:marLeft w:val="0"/>
      <w:marRight w:val="0"/>
      <w:marTop w:val="0"/>
      <w:marBottom w:val="0"/>
      <w:divBdr>
        <w:top w:val="none" w:sz="0" w:space="0" w:color="auto"/>
        <w:left w:val="none" w:sz="0" w:space="0" w:color="auto"/>
        <w:bottom w:val="none" w:sz="0" w:space="0" w:color="auto"/>
        <w:right w:val="none" w:sz="0" w:space="0" w:color="auto"/>
      </w:divBdr>
    </w:div>
    <w:div w:id="1249657935">
      <w:bodyDiv w:val="1"/>
      <w:marLeft w:val="0"/>
      <w:marRight w:val="0"/>
      <w:marTop w:val="0"/>
      <w:marBottom w:val="0"/>
      <w:divBdr>
        <w:top w:val="none" w:sz="0" w:space="0" w:color="auto"/>
        <w:left w:val="none" w:sz="0" w:space="0" w:color="auto"/>
        <w:bottom w:val="none" w:sz="0" w:space="0" w:color="auto"/>
        <w:right w:val="none" w:sz="0" w:space="0" w:color="auto"/>
      </w:divBdr>
    </w:div>
    <w:div w:id="167086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forest.hu/globalis-felmeleged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xforest.hu/globalis-felmeleged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nergiaonline.hu/mit-jelent-az-okologiai-labnyom-fogalma/" TargetMode="External"/><Relationship Id="rId11" Type="http://schemas.openxmlformats.org/officeDocument/2006/relationships/hyperlink" Target="https://ec.europa.eu/info/research-and-innovation/strategy/european-green-deal_hu" TargetMode="External"/><Relationship Id="rId5" Type="http://schemas.openxmlformats.org/officeDocument/2006/relationships/hyperlink" Target="https://xforest.hu/okologiai-labnyom/" TargetMode="External"/><Relationship Id="rId10" Type="http://schemas.openxmlformats.org/officeDocument/2006/relationships/hyperlink" Target="https://www.ksh.hu/docs/hun/modsz/modsz45.html" TargetMode="External"/><Relationship Id="rId4" Type="http://schemas.openxmlformats.org/officeDocument/2006/relationships/webSettings" Target="webSettings.xml"/><Relationship Id="rId9" Type="http://schemas.openxmlformats.org/officeDocument/2006/relationships/hyperlink" Target="https://xforest.hu/globalis-felmelegedes/"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1229</Words>
  <Characters>8487</Characters>
  <Application>Microsoft Office Word</Application>
  <DocSecurity>0</DocSecurity>
  <Lines>70</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K</cp:lastModifiedBy>
  <cp:revision>20</cp:revision>
  <dcterms:created xsi:type="dcterms:W3CDTF">2020-11-14T14:09:00Z</dcterms:created>
  <dcterms:modified xsi:type="dcterms:W3CDTF">2020-11-15T13:54:00Z</dcterms:modified>
</cp:coreProperties>
</file>